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fill="5B9BD5" w:themeFill="accent1"/>
        <w:jc w:val="center"/>
        <w:rPr>
          <w:rFonts w:hint="eastAsia" w:ascii="方正汉真广标简体" w:hAnsi="方正汉真广标简体" w:eastAsia="方正汉真广标简体" w:cs="方正汉真广标简体"/>
          <w:sz w:val="32"/>
          <w:szCs w:val="40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32"/>
          <w:szCs w:val="40"/>
          <w:lang w:val="en-US" w:eastAsia="zh-CN"/>
        </w:rPr>
        <w:t>SP/SPR系列渣浆泵 ZY系列加气砖厂抽水泥专用泵</w:t>
      </w: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FF"/>
          <w:sz w:val="32"/>
          <w:szCs w:val="40"/>
          <w:lang w:val="en-US"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614045</wp:posOffset>
            </wp:positionH>
            <wp:positionV relativeFrom="page">
              <wp:posOffset>1326515</wp:posOffset>
            </wp:positionV>
            <wp:extent cx="4044950" cy="3842385"/>
            <wp:effectExtent l="0" t="0" r="12700" b="5715"/>
            <wp:wrapNone/>
            <wp:docPr id="1" name="图片 1" descr="D:\顶管机专用泥浆泵、砂砾泵图片\性能参数说明书（已发送）\SP-SPR系列渣浆泵 ZY系列加气砖厂抽水泥专用泵\SP-SPR渣浆泵.jpgSP-SPR渣浆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顶管机专用泥浆泵、砂砾泵图片\性能参数说明书（已发送）\SP-SPR系列渣浆泵 ZY系列加气砖厂抽水泥专用泵\SP-SPR渣浆泵.jpgSP-SPR渣浆泵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44950" cy="3842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32"/>
          <w:szCs w:val="40"/>
          <w:lang w:val="en-US" w:eastAsia="zh-CN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32"/>
          <w:szCs w:val="40"/>
          <w:lang w:val="en-US" w:eastAsia="zh-CN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32"/>
          <w:szCs w:val="40"/>
          <w:lang w:val="en-US" w:eastAsia="zh-CN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32"/>
          <w:szCs w:val="40"/>
          <w:lang w:val="en-US" w:eastAsia="zh-CN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32"/>
          <w:szCs w:val="40"/>
          <w:lang w:val="en-US" w:eastAsia="zh-CN"/>
        </w:rPr>
      </w:pPr>
    </w:p>
    <w:p>
      <w:pPr>
        <w:jc w:val="center"/>
        <w:rPr>
          <w:rFonts w:hint="eastAsia" w:ascii="方正汉真广标简体" w:hAnsi="方正汉真广标简体" w:eastAsia="方正汉真广标简体" w:cs="方正汉真广标简体"/>
          <w:sz w:val="32"/>
          <w:szCs w:val="40"/>
          <w:lang w:val="en-US" w:eastAsia="zh-CN"/>
        </w:rPr>
      </w:pPr>
    </w:p>
    <w:p>
      <w:pPr>
        <w:jc w:val="left"/>
        <w:rPr>
          <w:rFonts w:hint="eastAsia" w:ascii="黑体" w:hAnsi="黑体" w:eastAsia="黑体" w:cs="黑体"/>
          <w:b/>
          <w:bCs/>
          <w:color w:val="0000FF"/>
          <w:sz w:val="32"/>
          <w:szCs w:val="40"/>
          <w:lang w:val="en-US" w:eastAsia="zh-CN"/>
        </w:rPr>
      </w:pPr>
    </w:p>
    <w:p>
      <w:pPr>
        <w:jc w:val="left"/>
        <w:rPr>
          <w:rFonts w:hint="eastAsia" w:ascii="黑体" w:hAnsi="黑体" w:eastAsia="黑体" w:cs="黑体"/>
          <w:b/>
          <w:bCs/>
          <w:color w:val="0000FF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fill="FFC000" w:themeFill="accent4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/>
          <w:bCs/>
          <w:color w:val="0000FF"/>
          <w:sz w:val="44"/>
          <w:szCs w:val="52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b/>
          <w:bCs/>
          <w:color w:val="0000FF"/>
          <w:sz w:val="44"/>
          <w:szCs w:val="52"/>
          <w:lang w:val="en-US" w:eastAsia="zh-CN"/>
        </w:rPr>
        <w:t>用途和特点：</w:t>
      </w:r>
    </w:p>
    <w:p>
      <w:pPr>
        <w:keepNext w:val="0"/>
        <w:keepLines w:val="0"/>
        <w:pageBreakBefore w:val="0"/>
        <w:widowControl w:val="0"/>
        <w:shd w:val="clear" w:fill="FFC000" w:themeFill="accent4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sz w:val="36"/>
          <w:szCs w:val="36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-259715</wp:posOffset>
                </wp:positionH>
                <wp:positionV relativeFrom="paragraph">
                  <wp:posOffset>49530</wp:posOffset>
                </wp:positionV>
                <wp:extent cx="257810" cy="257810"/>
                <wp:effectExtent l="0" t="0" r="8890" b="8890"/>
                <wp:wrapNone/>
                <wp:docPr id="190" name="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930910" y="6913880"/>
                          <a:ext cx="257810" cy="257810"/>
                        </a:xfrm>
                        <a:prstGeom prst="diamond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="ctr">
                        <a:scene3d>
                          <a:camera prst="orthographicFront"/>
                          <a:lightRig rig="threePt" dir="t"/>
                        </a:scene3d>
                        <a:sp3d>
                          <a:contourClr>
                            <a:srgbClr val="FFFFFF"/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 190" o:spid="_x0000_s1026" o:spt="4" type="#_x0000_t4" style="position:absolute;left:0pt;margin-left:-20.45pt;margin-top:3.9pt;height:20.3pt;width:20.3pt;z-index:251659264;v-text-anchor:middle;mso-width-relative:page;mso-height-relative:page;" fillcolor="#5B9BD5 [3204]" filled="t" stroked="f" coordsize="21600,21600" o:gfxdata="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zwYLk1QAAAAYBAAAPAAAAAAAAAAEAIAAAACIA&#10;AABkcnMvZG93bnJldi54bWxQSwECFAAUAAAACACHTuJAV1tQnQwCAAApBAAADgAAAAAAAAABACAA&#10;AAAkAQAAZHJzL2Uyb0RvYy54bWxQSwUGAAAAAAYABgBZAQAAogUAAAAA&#10;"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方正汉真广标简体" w:hAnsi="方正汉真广标简体" w:eastAsia="方正汉真广标简体" w:cs="方正汉真广标简体"/>
          <w:sz w:val="36"/>
          <w:szCs w:val="36"/>
          <w:lang w:val="en-US" w:eastAsia="zh-CN"/>
        </w:rPr>
        <w:t>SP、SPR型泵为立式离心渣浆泵。浸入液下，用于输送磨蚀性、粗颗粒、高浓度渣浆。不需要任何轴封和轴封水，在吸入量不足的工况下也能正常工作。</w:t>
      </w:r>
    </w:p>
    <w:p>
      <w:pPr>
        <w:keepNext w:val="0"/>
        <w:keepLines w:val="0"/>
        <w:pageBreakBefore w:val="0"/>
        <w:widowControl w:val="0"/>
        <w:shd w:val="clear" w:fill="FFC000" w:themeFill="accent4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fill="FFC000" w:themeFill="accent4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sz w:val="36"/>
          <w:szCs w:val="36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-266065</wp:posOffset>
                </wp:positionH>
                <wp:positionV relativeFrom="paragraph">
                  <wp:posOffset>43180</wp:posOffset>
                </wp:positionV>
                <wp:extent cx="257810" cy="257810"/>
                <wp:effectExtent l="0" t="0" r="8890" b="8890"/>
                <wp:wrapNone/>
                <wp:docPr id="2" name="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810" cy="257810"/>
                        </a:xfrm>
                        <a:prstGeom prst="diamond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="ctr">
                        <a:scene3d>
                          <a:camera prst="orthographicFront"/>
                          <a:lightRig rig="threePt" dir="t"/>
                        </a:scene3d>
                        <a:sp3d>
                          <a:contourClr>
                            <a:srgbClr val="FFFFFF"/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 190" o:spid="_x0000_s1026" o:spt="4" type="#_x0000_t4" style="position:absolute;left:0pt;margin-left:-20.95pt;margin-top:3.4pt;height:20.3pt;width:20.3pt;z-index:251661312;v-text-anchor:middle;mso-width-relative:page;mso-height-relative:page;" fillcolor="#5B9BD5 [3204]" filled="t" stroked="f" coordsize="21600,21600" o:gfxdata="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F+CPvLXAAAABwEAAA8AAAAAAAAAAQAgAAAAIgAAAGRycy9k&#10;b3ducmV2LnhtbFBLAQIUABQAAAAIAIdO4kAZ/i9OAwIAABwEAAAOAAAAAAAAAAEAIAAAACYBAABk&#10;cnMvZTJvRG9jLnhtbFBLBQYAAAAABgAGAFkBAACbBQAAAAA=&#10;"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方正汉真广标简体" w:hAnsi="方正汉真广标简体" w:eastAsia="方正汉真广标简体" w:cs="方正汉真广标简体"/>
          <w:sz w:val="36"/>
          <w:szCs w:val="36"/>
          <w:lang w:val="en-US" w:eastAsia="zh-CN"/>
        </w:rPr>
        <w:t>SP型泵泵体为耐磨金属，叶轮采用耐磨金属或橡胶、聚氨酯材料制造。</w:t>
      </w:r>
    </w:p>
    <w:p>
      <w:pPr>
        <w:keepNext w:val="0"/>
        <w:keepLines w:val="0"/>
        <w:pageBreakBefore w:val="0"/>
        <w:widowControl w:val="0"/>
        <w:shd w:val="clear" w:fill="FFC000" w:themeFill="accent4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fill="FFC000" w:themeFill="accent4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sz w:val="36"/>
          <w:szCs w:val="36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-256540</wp:posOffset>
                </wp:positionH>
                <wp:positionV relativeFrom="paragraph">
                  <wp:posOffset>68580</wp:posOffset>
                </wp:positionV>
                <wp:extent cx="257810" cy="257810"/>
                <wp:effectExtent l="0" t="0" r="8890" b="8890"/>
                <wp:wrapNone/>
                <wp:docPr id="3" name="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810" cy="257810"/>
                        </a:xfrm>
                        <a:prstGeom prst="diamond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="ctr">
                        <a:scene3d>
                          <a:camera prst="orthographicFront"/>
                          <a:lightRig rig="threePt" dir="t"/>
                        </a:scene3d>
                        <a:sp3d>
                          <a:contourClr>
                            <a:srgbClr val="FFFFFF"/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 190" o:spid="_x0000_s1026" o:spt="4" type="#_x0000_t4" style="position:absolute;left:0pt;margin-left:-20.2pt;margin-top:5.4pt;height:20.3pt;width:20.3pt;z-index:251665408;v-text-anchor:middle;mso-width-relative:page;mso-height-relative:page;" fillcolor="#5B9BD5 [3204]" filled="t" stroked="f" coordsize="21600,21600" o:gfxdata="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I0ulX1QAAAAYBAAAPAAAAAAAAAAEAIAAAACIAAABkcnMvZG93&#10;bnJldi54bWxQSwECFAAUAAAACACHTuJAu+/2mgMCAAAcBAAADgAAAAAAAAABACAAAAAkAQAAZHJz&#10;L2Uyb0RvYy54bWxQSwUGAAAAAAYABgBZAQAAmQUAAAAA&#10;"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方正汉真广标简体" w:hAnsi="方正汉真广标简体" w:eastAsia="方正汉真广标简体" w:cs="方正汉真广标简体"/>
          <w:sz w:val="36"/>
          <w:szCs w:val="36"/>
          <w:lang w:val="en-US" w:eastAsia="zh-CN"/>
        </w:rPr>
        <w:t>SPR型泵浸入液下的零部件均衬有橡胶。适用于输送磨蚀性渣浆。</w:t>
      </w:r>
    </w:p>
    <w:p>
      <w:pPr>
        <w:keepNext w:val="0"/>
        <w:keepLines w:val="0"/>
        <w:pageBreakBefore w:val="0"/>
        <w:widowControl w:val="0"/>
        <w:shd w:val="clear" w:fill="FFC000" w:themeFill="accent4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sz w:val="24"/>
          <w:szCs w:val="24"/>
          <w:lang w:val="en-US" w:eastAsia="zh-CN"/>
        </w:rPr>
        <w:t xml:space="preserve">                                                         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sz w:val="32"/>
          <w:szCs w:val="32"/>
          <w:lang w:val="en-US" w:eastAsia="zh-CN"/>
        </w:rPr>
        <w:t>性能参数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3"/>
        <w:gridCol w:w="750"/>
        <w:gridCol w:w="1132"/>
        <w:gridCol w:w="1065"/>
        <w:gridCol w:w="1065"/>
        <w:gridCol w:w="1065"/>
        <w:gridCol w:w="1066"/>
        <w:gridCol w:w="1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3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型号</w:t>
            </w:r>
          </w:p>
        </w:tc>
        <w:tc>
          <w:tcPr>
            <w:tcW w:w="750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吐出口径（mm）</w:t>
            </w:r>
          </w:p>
        </w:tc>
        <w:tc>
          <w:tcPr>
            <w:tcW w:w="1132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转速n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（r/min）</w:t>
            </w:r>
          </w:p>
        </w:tc>
        <w:tc>
          <w:tcPr>
            <w:tcW w:w="3195" w:type="dxa"/>
            <w:gridSpan w:val="3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清水性能参数</w:t>
            </w:r>
          </w:p>
        </w:tc>
        <w:tc>
          <w:tcPr>
            <w:tcW w:w="1066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配代功率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（kw）</w:t>
            </w:r>
          </w:p>
        </w:tc>
        <w:tc>
          <w:tcPr>
            <w:tcW w:w="1066" w:type="dxa"/>
            <w:vMerge w:val="restart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叶轮直径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（mm）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流量Q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（m³/h）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扬程H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（m）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（%）</w:t>
            </w:r>
          </w:p>
        </w:tc>
        <w:tc>
          <w:tcPr>
            <w:tcW w:w="106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w w:val="90"/>
                <w:sz w:val="20"/>
                <w:szCs w:val="20"/>
                <w:vertAlign w:val="baseline"/>
                <w:lang w:val="en-US" w:eastAsia="zh-CN"/>
              </w:rPr>
              <w:t>40PV-SP(R)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40</w:t>
            </w:r>
          </w:p>
        </w:tc>
        <w:tc>
          <w:tcPr>
            <w:tcW w:w="11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1000-2200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17-43.2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4-28.5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40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15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w w:val="90"/>
                <w:sz w:val="20"/>
                <w:szCs w:val="20"/>
                <w:vertAlign w:val="baseline"/>
                <w:lang w:val="en-US" w:eastAsia="zh-CN"/>
              </w:rPr>
              <w:t>65PV-SP(R)</w:t>
            </w:r>
          </w:p>
        </w:tc>
        <w:tc>
          <w:tcPr>
            <w:tcW w:w="75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65</w:t>
            </w:r>
          </w:p>
        </w:tc>
        <w:tc>
          <w:tcPr>
            <w:tcW w:w="113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700-1500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18-114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5-31.5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60</w:t>
            </w: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30</w:t>
            </w: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w w:val="90"/>
                <w:sz w:val="20"/>
                <w:szCs w:val="20"/>
                <w:vertAlign w:val="baseline"/>
                <w:lang w:val="en-US" w:eastAsia="zh-CN"/>
              </w:rPr>
              <w:t>100PV-SP(R)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100</w:t>
            </w:r>
          </w:p>
        </w:tc>
        <w:tc>
          <w:tcPr>
            <w:tcW w:w="11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500-1200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54-289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5-36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62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75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370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w w:val="90"/>
                <w:sz w:val="20"/>
                <w:szCs w:val="20"/>
                <w:vertAlign w:val="baseline"/>
                <w:lang w:val="en-US" w:eastAsia="zh-CN"/>
              </w:rPr>
              <w:t>150SV-SP</w:t>
            </w:r>
          </w:p>
        </w:tc>
        <w:tc>
          <w:tcPr>
            <w:tcW w:w="75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150</w:t>
            </w:r>
          </w:p>
        </w:tc>
        <w:tc>
          <w:tcPr>
            <w:tcW w:w="113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500-1000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108-479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8.5-40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52</w:t>
            </w: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110</w:t>
            </w: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w w:val="90"/>
                <w:sz w:val="20"/>
                <w:szCs w:val="20"/>
                <w:vertAlign w:val="baseline"/>
                <w:lang w:val="en-US" w:eastAsia="zh-CN"/>
              </w:rPr>
              <w:t>200SV-SP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200</w:t>
            </w:r>
          </w:p>
        </w:tc>
        <w:tc>
          <w:tcPr>
            <w:tcW w:w="11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400-850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189-891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6.5-37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64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110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3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w w:val="90"/>
                <w:sz w:val="20"/>
                <w:szCs w:val="20"/>
                <w:vertAlign w:val="baseline"/>
                <w:lang w:val="en-US" w:eastAsia="zh-CN"/>
              </w:rPr>
              <w:t>250TV-SP</w:t>
            </w:r>
          </w:p>
        </w:tc>
        <w:tc>
          <w:tcPr>
            <w:tcW w:w="750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250</w:t>
            </w:r>
          </w:p>
        </w:tc>
        <w:tc>
          <w:tcPr>
            <w:tcW w:w="1132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400-750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261-1089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7-33.5</w:t>
            </w:r>
          </w:p>
        </w:tc>
        <w:tc>
          <w:tcPr>
            <w:tcW w:w="1065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60</w:t>
            </w: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200</w:t>
            </w:r>
          </w:p>
        </w:tc>
        <w:tc>
          <w:tcPr>
            <w:tcW w:w="1066" w:type="dxa"/>
            <w:shd w:val="clear" w:color="auto" w:fill="5B9BD5" w:themeFill="accent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575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w w:val="9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w w:val="90"/>
                <w:sz w:val="20"/>
                <w:szCs w:val="20"/>
                <w:vertAlign w:val="baseline"/>
                <w:lang w:val="en-US" w:eastAsia="zh-CN"/>
              </w:rPr>
              <w:t>300TV-SP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300</w:t>
            </w:r>
          </w:p>
        </w:tc>
        <w:tc>
          <w:tcPr>
            <w:tcW w:w="11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350-700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288-1267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6-33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50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200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610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sz w:val="24"/>
          <w:szCs w:val="24"/>
          <w:lang w:val="en-US" w:eastAsia="zh-CN"/>
        </w:rPr>
        <w:t>型号意义说明：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sz w:val="24"/>
          <w:szCs w:val="24"/>
          <w:lang w:val="en-US" w:eastAsia="zh-CN"/>
        </w:rPr>
        <w:t xml:space="preserve">例：40 PV </w:t>
      </w:r>
      <w:bookmarkStart w:id="0" w:name="_GoBack"/>
      <w:bookmarkEnd w:id="0"/>
      <w:r>
        <w:rPr>
          <w:rFonts w:hint="eastAsia" w:ascii="方正汉真广标简体" w:hAnsi="方正汉真广标简体" w:eastAsia="方正汉真广标简体" w:cs="方正汉真广标简体"/>
          <w:b w:val="0"/>
          <w:bCs w:val="0"/>
          <w:sz w:val="24"/>
          <w:szCs w:val="24"/>
          <w:lang w:val="en-US" w:eastAsia="zh-CN"/>
        </w:rPr>
        <w:t>SP、SPR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1.40----------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泵吐出口直径（mm）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2.PV----------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立式托架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3.SP、SPR-----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液下渣浆泵、衬胶液下渣浆泵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汉真广标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5024ED"/>
    <w:rsid w:val="37710E05"/>
    <w:rsid w:val="6F601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名家书画定制</cp:lastModifiedBy>
  <dcterms:modified xsi:type="dcterms:W3CDTF">2019-03-06T03:20:03Z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