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fill="5B9BD5" w:themeFill="accent1"/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2076450</wp:posOffset>
            </wp:positionH>
            <wp:positionV relativeFrom="page">
              <wp:posOffset>1233170</wp:posOffset>
            </wp:positionV>
            <wp:extent cx="2686685" cy="2687320"/>
            <wp:effectExtent l="0" t="0" r="18415" b="17780"/>
            <wp:wrapNone/>
            <wp:docPr id="1" name="图片 1" descr="D:\顶管机专用泥浆泵、砂砾泵图片\性能参数说明书\船用BS型系列砂石泥浆泵\船用BS泥浆泵.jpg船用BS泥浆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顶管机专用泥浆泵、砂砾泵图片\性能参数说明书\船用BS型系列砂石泥浆泵\船用BS泥浆泵.jpg船用BS泥浆泵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86685" cy="2687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hint="eastAsia" w:ascii="方正汉真广标简体" w:hAnsi="方正汉真广标简体" w:eastAsia="方正汉真广标简体" w:cs="方正汉真广标简体"/>
          <w:sz w:val="36"/>
          <w:szCs w:val="44"/>
          <w:lang w:eastAsia="zh-CN"/>
        </w:rPr>
        <w:t>船用</w:t>
      </w:r>
      <w:r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  <w:t>BS型系列砂石泥浆泵</w:t>
      </w: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</w:p>
    <w:p>
      <w:pPr>
        <w:jc w:val="left"/>
        <w:rPr>
          <w:rFonts w:hint="eastAsia"/>
          <w:b/>
          <w:bCs/>
          <w:color w:val="0000FF"/>
          <w:lang w:val="en-US" w:eastAsia="zh-CN"/>
        </w:rPr>
      </w:pPr>
      <w:r>
        <w:rPr>
          <w:rFonts w:hint="eastAsia"/>
          <w:b/>
          <w:bCs/>
          <w:color w:val="0000FF"/>
          <w:lang w:val="en-US" w:eastAsia="zh-CN"/>
        </w:rPr>
        <w:t>用途及适用范围：</w:t>
      </w:r>
    </w:p>
    <w:p>
      <w:pPr>
        <w:ind w:firstLine="42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S系列砂石泥浆泵，具有体积小、重量轻、结构简单、维修方便、节能幅度大等优点。分注水型、油封型和机械密封型三种，过流部件采用普通耐磨、中等耐磨、高抗磨材料。主要用于砂场、河道清淤工程中土方输送增压系统，以及工业、矿山、国防建设的基础施工钻机的配套产品，适用于输送温度在60℃以下的带有大颗粒泥沙或其它悬浮物液体。输送浓度不大于60%（按重量计算）。</w:t>
      </w:r>
    </w:p>
    <w:p>
      <w:pPr>
        <w:jc w:val="both"/>
        <w:rPr>
          <w:rFonts w:hint="eastAsia"/>
          <w:b/>
          <w:bCs/>
          <w:color w:val="0000FF"/>
          <w:lang w:val="en-US" w:eastAsia="zh-CN"/>
        </w:rPr>
      </w:pPr>
    </w:p>
    <w:p>
      <w:pPr>
        <w:jc w:val="both"/>
        <w:rPr>
          <w:rFonts w:hint="eastAsia"/>
          <w:b/>
          <w:bCs/>
          <w:color w:val="0000FF"/>
          <w:lang w:val="en-US" w:eastAsia="zh-CN"/>
        </w:rPr>
      </w:pPr>
      <w:r>
        <w:rPr>
          <w:rFonts w:hint="eastAsia"/>
          <w:b/>
          <w:bCs/>
          <w:color w:val="0000FF"/>
          <w:lang w:val="en-US" w:eastAsia="zh-CN"/>
        </w:rPr>
        <w:t>性能参数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1221"/>
        <w:gridCol w:w="1221"/>
        <w:gridCol w:w="1221"/>
        <w:gridCol w:w="1221"/>
        <w:gridCol w:w="1221"/>
        <w:gridCol w:w="1221"/>
        <w:gridCol w:w="1221"/>
        <w:gridCol w:w="1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型号</w:t>
            </w:r>
          </w:p>
        </w:tc>
        <w:tc>
          <w:tcPr>
            <w:tcW w:w="1221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流量Q</w:t>
            </w:r>
          </w:p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(m³/h)</w:t>
            </w:r>
          </w:p>
        </w:tc>
        <w:tc>
          <w:tcPr>
            <w:tcW w:w="1221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扬程H</w:t>
            </w:r>
          </w:p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(mm)</w:t>
            </w:r>
          </w:p>
        </w:tc>
        <w:tc>
          <w:tcPr>
            <w:tcW w:w="1221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转速n</w:t>
            </w:r>
          </w:p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(r/min)</w:t>
            </w:r>
          </w:p>
        </w:tc>
        <w:tc>
          <w:tcPr>
            <w:tcW w:w="1221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配套电机</w:t>
            </w:r>
          </w:p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(KW)</w:t>
            </w:r>
          </w:p>
        </w:tc>
        <w:tc>
          <w:tcPr>
            <w:tcW w:w="1221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效率</w:t>
            </w:r>
          </w:p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%</w:t>
            </w:r>
          </w:p>
        </w:tc>
        <w:tc>
          <w:tcPr>
            <w:tcW w:w="1221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吸程</w:t>
            </w:r>
          </w:p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(m)</w:t>
            </w:r>
          </w:p>
        </w:tc>
        <w:tc>
          <w:tcPr>
            <w:tcW w:w="1221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重量</w:t>
            </w:r>
          </w:p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(kg)</w:t>
            </w:r>
          </w:p>
        </w:tc>
        <w:tc>
          <w:tcPr>
            <w:tcW w:w="1221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外形尺寸</w:t>
            </w:r>
          </w:p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(m)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300BS</w:t>
            </w:r>
          </w:p>
        </w:tc>
        <w:tc>
          <w:tcPr>
            <w:tcW w:w="1221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1100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18</w:t>
            </w:r>
          </w:p>
        </w:tc>
        <w:tc>
          <w:tcPr>
            <w:tcW w:w="1221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760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55</w:t>
            </w:r>
          </w:p>
        </w:tc>
        <w:tc>
          <w:tcPr>
            <w:tcW w:w="1221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≥50%</w:t>
            </w:r>
          </w:p>
        </w:tc>
        <w:tc>
          <w:tcPr>
            <w:tcW w:w="1221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6.5</w:t>
            </w:r>
          </w:p>
        </w:tc>
        <w:tc>
          <w:tcPr>
            <w:tcW w:w="1221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1000</w:t>
            </w:r>
          </w:p>
        </w:tc>
        <w:tc>
          <w:tcPr>
            <w:tcW w:w="1221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2.4x4x1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22</w:t>
            </w: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75</w:t>
            </w: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30</w:t>
            </w:r>
          </w:p>
        </w:tc>
        <w:tc>
          <w:tcPr>
            <w:tcW w:w="1221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980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110</w:t>
            </w: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1300</w:t>
            </w: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35</w:t>
            </w: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160</w:t>
            </w: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300BS-150</w:t>
            </w:r>
          </w:p>
        </w:tc>
        <w:tc>
          <w:tcPr>
            <w:tcW w:w="1221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300-400</w:t>
            </w:r>
          </w:p>
        </w:tc>
        <w:tc>
          <w:tcPr>
            <w:tcW w:w="1221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28-37</w:t>
            </w:r>
          </w:p>
        </w:tc>
        <w:tc>
          <w:tcPr>
            <w:tcW w:w="1221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980-1100</w:t>
            </w:r>
          </w:p>
        </w:tc>
        <w:tc>
          <w:tcPr>
            <w:tcW w:w="1221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55-110</w:t>
            </w:r>
          </w:p>
        </w:tc>
        <w:tc>
          <w:tcPr>
            <w:tcW w:w="1221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≥50%</w:t>
            </w:r>
          </w:p>
        </w:tc>
        <w:tc>
          <w:tcPr>
            <w:tcW w:w="1221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6.5</w:t>
            </w:r>
          </w:p>
        </w:tc>
        <w:tc>
          <w:tcPr>
            <w:tcW w:w="1221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1300</w:t>
            </w:r>
          </w:p>
        </w:tc>
        <w:tc>
          <w:tcPr>
            <w:tcW w:w="1221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2.4x4x1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200BS</w:t>
            </w:r>
          </w:p>
        </w:tc>
        <w:tc>
          <w:tcPr>
            <w:tcW w:w="1221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400</w:t>
            </w:r>
          </w:p>
        </w:tc>
        <w:tc>
          <w:tcPr>
            <w:tcW w:w="1221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37</w:t>
            </w:r>
          </w:p>
        </w:tc>
        <w:tc>
          <w:tcPr>
            <w:tcW w:w="1221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980</w:t>
            </w:r>
          </w:p>
        </w:tc>
        <w:tc>
          <w:tcPr>
            <w:tcW w:w="1221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132</w:t>
            </w:r>
          </w:p>
        </w:tc>
        <w:tc>
          <w:tcPr>
            <w:tcW w:w="1221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≥50%</w:t>
            </w:r>
          </w:p>
        </w:tc>
        <w:tc>
          <w:tcPr>
            <w:tcW w:w="1221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6.5</w:t>
            </w:r>
          </w:p>
        </w:tc>
        <w:tc>
          <w:tcPr>
            <w:tcW w:w="1221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1000</w:t>
            </w:r>
          </w:p>
        </w:tc>
        <w:tc>
          <w:tcPr>
            <w:tcW w:w="1221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2.4x4x1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150BS</w:t>
            </w:r>
          </w:p>
        </w:tc>
        <w:tc>
          <w:tcPr>
            <w:tcW w:w="1221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350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28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980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55</w:t>
            </w:r>
          </w:p>
        </w:tc>
        <w:tc>
          <w:tcPr>
            <w:tcW w:w="1221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≥50%</w:t>
            </w:r>
          </w:p>
        </w:tc>
        <w:tc>
          <w:tcPr>
            <w:tcW w:w="1221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6.5</w:t>
            </w:r>
          </w:p>
        </w:tc>
        <w:tc>
          <w:tcPr>
            <w:tcW w:w="1221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1000</w:t>
            </w:r>
          </w:p>
        </w:tc>
        <w:tc>
          <w:tcPr>
            <w:tcW w:w="1221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2.4x4x1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30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1000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75</w:t>
            </w: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20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35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1050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90</w:t>
            </w: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37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1100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110</w:t>
            </w: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/>
          <w:b/>
          <w:bCs/>
          <w:color w:val="0000FF"/>
          <w:lang w:val="en-US" w:eastAsia="zh-CN"/>
        </w:rPr>
      </w:pPr>
    </w:p>
    <w:p>
      <w:pPr>
        <w:jc w:val="both"/>
        <w:rPr>
          <w:rFonts w:hint="eastAsia"/>
          <w:b/>
          <w:bCs/>
          <w:color w:val="0000FF"/>
          <w:lang w:val="en-US" w:eastAsia="zh-CN"/>
        </w:rPr>
      </w:pPr>
      <w:r>
        <w:rPr>
          <w:rFonts w:hint="eastAsia"/>
          <w:b/>
          <w:bCs/>
          <w:color w:val="0000FF"/>
          <w:lang w:val="en-US" w:eastAsia="zh-CN"/>
        </w:rPr>
        <w:t>维修、保养</w:t>
      </w:r>
    </w:p>
    <w:p>
      <w:pPr>
        <w:jc w:val="both"/>
        <w:rPr>
          <w:rFonts w:hint="eastAsia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启动与停泵前后的检查：</w:t>
      </w:r>
    </w:p>
    <w:p>
      <w:pPr>
        <w:numPr>
          <w:ilvl w:val="0"/>
          <w:numId w:val="1"/>
        </w:numPr>
        <w:jc w:val="both"/>
        <w:rPr>
          <w:rFonts w:hint="eastAsia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转动各联轴节，应转滑均匀。</w:t>
      </w:r>
    </w:p>
    <w:p>
      <w:pPr>
        <w:numPr>
          <w:ilvl w:val="0"/>
          <w:numId w:val="1"/>
        </w:numPr>
        <w:jc w:val="both"/>
        <w:rPr>
          <w:rFonts w:hint="eastAsia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检查所有油标，观察油位是否在规定刻度范围内。</w:t>
      </w:r>
    </w:p>
    <w:p>
      <w:pPr>
        <w:numPr>
          <w:ilvl w:val="0"/>
          <w:numId w:val="1"/>
        </w:numPr>
        <w:jc w:val="both"/>
        <w:rPr>
          <w:rFonts w:hint="eastAsia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检查电动旋转方向是否与泵的旋向一致，严禁水泵倒转。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运转时的检查</w:t>
      </w:r>
    </w:p>
    <w:p>
      <w:pPr>
        <w:numPr>
          <w:ilvl w:val="0"/>
          <w:numId w:val="2"/>
        </w:numPr>
        <w:jc w:val="both"/>
        <w:rPr>
          <w:rFonts w:hint="eastAsia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经常检查油标的油位，须保持在最高与最低油位之间。</w:t>
      </w:r>
    </w:p>
    <w:p>
      <w:pPr>
        <w:numPr>
          <w:ilvl w:val="0"/>
          <w:numId w:val="2"/>
        </w:numPr>
        <w:jc w:val="both"/>
        <w:rPr>
          <w:rFonts w:hint="eastAsia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运转过程中，如发现异常声响，须立即停车检查原因。</w:t>
      </w:r>
    </w:p>
    <w:p>
      <w:pPr>
        <w:numPr>
          <w:ilvl w:val="0"/>
          <w:numId w:val="2"/>
        </w:numPr>
        <w:jc w:val="both"/>
        <w:rPr>
          <w:rFonts w:hint="eastAsia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泵每运转1000小时后应进行如期检查，及时更换零部件。</w:t>
      </w:r>
    </w:p>
    <w:p>
      <w:pPr>
        <w:numPr>
          <w:ilvl w:val="0"/>
          <w:numId w:val="2"/>
        </w:numPr>
        <w:jc w:val="both"/>
        <w:rPr>
          <w:rFonts w:hint="eastAsia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注意轴承温度，温升一般不能超过65℃，最高温度应在75℃以内。</w:t>
      </w:r>
    </w:p>
    <w:p>
      <w:pPr>
        <w:numPr>
          <w:ilvl w:val="0"/>
          <w:numId w:val="2"/>
        </w:numPr>
        <w:jc w:val="both"/>
        <w:rPr>
          <w:rFonts w:hint="eastAsia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定期检查润滑油，新产品开始使用一个月内经过100小时工作后应更换新油，以后每工作1000小时更换一次。</w:t>
      </w:r>
    </w:p>
    <w:sectPr>
      <w:pgSz w:w="11906" w:h="16838"/>
      <w:pgMar w:top="1440" w:right="567" w:bottom="1440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5F0687"/>
    <w:multiLevelType w:val="singleLevel"/>
    <w:tmpl w:val="845F068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7BAF86C"/>
    <w:multiLevelType w:val="singleLevel"/>
    <w:tmpl w:val="37BAF86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59C731F"/>
    <w:rsid w:val="33091A72"/>
    <w:rsid w:val="41403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名家书画定制</dc:creator>
  <cp:lastModifiedBy>名家书画定制</cp:lastModifiedBy>
  <dcterms:modified xsi:type="dcterms:W3CDTF">2019-03-06T01:39:48Z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